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i w:val="0"/>
          <w:color w:val="122230"/>
          <w:sz w:val="32"/>
        </w:rPr>
        <w:t>UMOWA Z PODWYKONAWCĄ</w:t>
      </w:r>
    </w:p>
    <w:p>
      <w:pPr>
        <w:spacing w:after="160"/>
        <w:jc w:val="center"/>
      </w:pPr>
      <w:r>
        <w:rPr>
          <w:b w:val="0"/>
          <w:i/>
          <w:color w:val="5B6578"/>
          <w:sz w:val="16"/>
        </w:rPr>
        <w:t>umowa z podwykonawcą na roboty budowlane (Nachunternehmervertrag)</w:t>
      </w:r>
    </w:p>
    <w:p>
      <w:pPr>
        <w:spacing w:before="200" w:after="60"/>
      </w:pPr>
      <w:r>
        <w:rPr>
          <w:b/>
          <w:i w:val="0"/>
          <w:color w:val="122230"/>
          <w:sz w:val="22"/>
        </w:rPr>
        <w:t>1. Strony umowy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7757"/>
      </w:tblGrid>
      <w:tr>
        <w:trPr>
          <w:trHeight w:val="7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Wykonawca główny (zamawiający)</w:t>
            </w:r>
          </w:p>
          <w:p>
            <w:r>
              <w:rPr>
                <w:b w:val="0"/>
                <w:i/>
                <w:color w:val="5B6578"/>
                <w:sz w:val="15"/>
              </w:rPr>
              <w:t>firma, adres, reprezentant</w:t>
            </w:r>
          </w:p>
        </w:tc>
        <w:tc>
          <w:tcPr>
            <w:tcW w:w="7757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7757"/>
      </w:tblGrid>
      <w:tr>
        <w:trPr>
          <w:trHeight w:val="7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Podwykonawca</w:t>
            </w:r>
          </w:p>
          <w:p>
            <w:r>
              <w:rPr>
                <w:b w:val="0"/>
                <w:i/>
                <w:color w:val="5B6578"/>
                <w:sz w:val="15"/>
              </w:rPr>
              <w:t>firma, adres, kraj siedziby, reprezentant</w:t>
            </w:r>
          </w:p>
        </w:tc>
        <w:tc>
          <w:tcPr>
            <w:tcW w:w="7757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60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NIP / numer VAT UE podwykonawcy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Budowa</w:t>
            </w:r>
          </w:p>
          <w:p>
            <w:r>
              <w:rPr>
                <w:b w:val="0"/>
                <w:i/>
                <w:color w:val="5B6578"/>
                <w:sz w:val="15"/>
              </w:rPr>
              <w:t>nazwa, adres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2. Zakres i terminy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Branża i zakres robót (kosztorys, rysunki jako załącznik)</w:t>
            </w:r>
          </w:p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Rozpoczęcie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Zakończenie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3. Wynagrodzenie</w:t>
      </w:r>
    </w:p>
    <w:p>
      <w:pPr>
        <w:tabs>
          <w:tab w:pos="10205" w:val="right" w:leader="underscore"/>
        </w:tabs>
      </w:pPr>
      <w:r>
        <w:rPr>
          <w:b w:val="0"/>
          <w:i w:val="0"/>
          <w:color w:val="122230"/>
          <w:sz w:val="18"/>
        </w:rPr>
        <w:t>☐  Ryczałt netto (€):</w:t>
      </w:r>
      <w:r>
        <w:tab/>
      </w:r>
    </w:p>
    <w:p>
      <w:r>
        <w:rPr>
          <w:b w:val="0"/>
          <w:i w:val="0"/>
          <w:color w:val="122230"/>
          <w:sz w:val="18"/>
        </w:rPr>
        <w:t>☐  Ceny jednostkowe według kosztorysu, rozliczenie według wspólnego obmiaru</w:t>
      </w:r>
    </w:p>
    <w:p>
      <w:r>
        <w:rPr>
          <w:b w:val="0"/>
          <w:i w:val="0"/>
          <w:color w:val="122230"/>
          <w:sz w:val="18"/>
        </w:rPr>
        <w:t>☐  Płatności częściowe według postępu robót na podstawie sprawdzalnego zestawienia (§ 632a BGB)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Termin płatności</w:t>
            </w:r>
          </w:p>
          <w:p>
            <w:r>
              <w:rPr>
                <w:b w:val="0"/>
                <w:i/>
                <w:color w:val="5B6578"/>
                <w:sz w:val="15"/>
              </w:rPr>
              <w:t>dni od faktury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Zatrzymanie / zabezpieczenie</w:t>
            </w:r>
          </w:p>
          <w:p>
            <w:r>
              <w:rPr>
                <w:b w:val="0"/>
                <w:i/>
                <w:color w:val="5B6578"/>
                <w:sz w:val="15"/>
              </w:rPr>
              <w:t>% albo gwarancja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4. Obowiązki podwykonawcy</w:t>
      </w:r>
    </w:p>
    <w:p>
      <w:r>
        <w:rPr>
          <w:b w:val="0"/>
          <w:i w:val="0"/>
          <w:color w:val="122230"/>
          <w:sz w:val="18"/>
        </w:rPr>
        <w:t>☐  Wypłata co najmniej płacy minimalnej albo stawek minimalnych wszystkim pracownikom; oświadczenie podwykonawcy jako załącznik.</w:t>
      </w:r>
    </w:p>
    <w:p>
      <w:r>
        <w:rPr>
          <w:b w:val="0"/>
          <w:i w:val="0"/>
          <w:color w:val="122230"/>
          <w:sz w:val="18"/>
        </w:rPr>
        <w:t>☐  Ewidencja czasu pracy (początek, koniec, czas) i dokumenty dostępne w Niemczech (§ 17 MiLoG).</w:t>
      </w:r>
    </w:p>
    <w:p>
      <w:r>
        <w:rPr>
          <w:b w:val="0"/>
          <w:i w:val="0"/>
          <w:color w:val="122230"/>
          <w:sz w:val="18"/>
        </w:rPr>
        <w:t>☐  Zaświadczenia A1 dla pracowników delegowanych przed rozpoczęciem pracy.</w:t>
      </w:r>
    </w:p>
    <w:p>
      <w:r>
        <w:rPr>
          <w:b w:val="0"/>
          <w:i w:val="0"/>
          <w:color w:val="122230"/>
          <w:sz w:val="18"/>
        </w:rPr>
        <w:t>☐  Dalsi podwykonawcy tylko za pisemną zgodą wykonawcy głównego.</w:t>
      </w:r>
    </w:p>
    <w:p>
      <w:r>
        <w:rPr>
          <w:b w:val="0"/>
          <w:i w:val="0"/>
          <w:color w:val="122230"/>
          <w:sz w:val="18"/>
        </w:rPr>
        <w:t>☐  Zmiany i roboty dodatkowe tylko po pisemnej ofercie dodatkowej i zleceniu (§ 650b BGB).</w:t>
      </w:r>
    </w:p>
    <w:p>
      <w:r>
        <w:br w:type="page"/>
      </w:r>
    </w:p>
    <w:p>
      <w:pPr>
        <w:spacing w:before="200" w:after="60"/>
      </w:pPr>
      <w:r>
        <w:rPr>
          <w:b/>
          <w:i w:val="0"/>
          <w:color w:val="122230"/>
          <w:sz w:val="22"/>
        </w:rPr>
        <w:t>5. Odbiór, wady, inne</w:t>
      </w:r>
    </w:p>
    <w:p>
      <w:r>
        <w:rPr>
          <w:b w:val="0"/>
          <w:i w:val="0"/>
          <w:color w:val="122230"/>
          <w:sz w:val="18"/>
        </w:rPr>
        <w:t>☐  Formalny odbiór ze wspólnym protokołem.</w:t>
      </w:r>
    </w:p>
    <w:p>
      <w:r>
        <w:rPr>
          <w:b w:val="0"/>
          <w:i w:val="0"/>
          <w:color w:val="122230"/>
          <w:sz w:val="18"/>
        </w:rPr>
        <w:t>☐  VOB/B jest częścią umowy.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Inne ustalenia (kara umowna, okres rękojmi, ubezpieczenie, sąd właściwy)</w:t>
            </w:r>
          </w:p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p>
      <w:pPr>
        <w:spacing w:before="720"/>
      </w:pPr>
    </w:p>
    <w:tbl>
      <w:tblPr>
        <w:tblLook w:firstColumn="1" w:firstRow="1" w:lastColumn="0" w:lastRow="0" w:noHBand="0" w:noVBand="1" w:val="04A0"/>
        <w:tblW w:w="10206" w:type="dxa"/>
        <w:tblLayout w:type="fixed"/>
      </w:tblPr>
      <w:tblGrid>
        <w:gridCol w:w="5103"/>
        <w:gridCol w:w="5103"/>
      </w:tblGrid>
      <w:tr>
        <w:trPr>
          <w:trHeight w:val="1120"/>
        </w:trPr>
        <w:tc>
          <w:tcPr>
            <w:tcW w:w="5103" w:type="dxa"/>
            <w:tcBorders>
              <w:bottom w:val="dotted" w:sz="6" w:color="122230"/>
            </w:tcBorders>
          </w:tcPr>
          <w:p/>
        </w:tc>
        <w:tc>
          <w:tcPr>
            <w:tcW w:w="5103" w:type="dxa"/>
            <w:tcBorders>
              <w:bottom w:val="dotted" w:sz="6" w:color="122230"/>
            </w:tcBorders>
          </w:tcPr>
          <w:p/>
        </w:tc>
      </w:tr>
      <w:tr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Wykonawca główny (miejscowość, data, podpis)</w:t>
            </w:r>
          </w:p>
        </w:tc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Podwykonawca (miejscowość, data, podpis)</w:t>
            </w:r>
          </w:p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FB8728"/>
          <w:left w:val="single" w:sz="4" w:color="FB8728"/>
          <w:bottom w:val="single" w:sz="4" w:color="FB8728"/>
          <w:right w:val="single" w:sz="4" w:color="FB8728"/>
          <w:insideH w:val="single" w:sz="4" w:color="FB8728"/>
          <w:insideV w:val="single" w:sz="4" w:color="FB8728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ff6ee"/>
          </w:tcPr>
          <w:p>
            <w:r>
              <w:rPr>
                <w:b/>
                <w:i w:val="0"/>
                <w:color w:val="122230"/>
                <w:sz w:val="17"/>
              </w:rPr>
              <w:t>Wskazówki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Wykonawca główny odpowiada za wypłatę płacy minimalnej pracownikom podwykonawcy jak poręczyciel (§ 14 AEntG, dla płacy minimalnej odpowiednio § 13 MiLoG). Dlatego regularnie żądaj dowodów.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Podwykonawca pracuje na własny rachunek i z własnymi ludźmi. Kto tylko „wypożycza” ludzi pracujących na polecenie wykonawcy głównego, ryzykuje ukryte udostępnianie pracowników (Arbeitnehmerüberlassung). W razie wątpliwości sprawdź to wcześniej. Wzór nie zastępuje porady prawnej.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37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b w:val="0"/>
        <w:i w:val="0"/>
        <w:color w:val="5B6578"/>
        <w:sz w:val="15"/>
      </w:rPr>
      <w:t>Stan: 08.11.2026 · Wzór bez gwarancji · Dostosuj do umowy i zlecenia.</w:t>
    </w:r>
  </w:p>
  <w:p>
    <w:pPr>
      <w:jc w:val="right"/>
    </w:pP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PAGE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  <w:r>
      <w:rPr>
        <w:b w:val="0"/>
        <w:i w:val="0"/>
        <w:color w:val="5B6578"/>
        <w:sz w:val="15"/>
      </w:rPr>
      <w:t>/</w:t>
    </w: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NUMPAGES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936000" cy="2592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.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6000" cy="259200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 podwykonawcą – BauHub</dc:title>
  <dc:subject/>
  <dc:creator>BauHub (bauhub-pl.de)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