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REGIEBERICHT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Stundenlohnzettel für zusätzliche Arbeiten außerhalb des Leistungsverzeichnisses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Bericht-Nr.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Datum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Auftrag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Auftraggeber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Auftragnehmer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Bauvorhaben / Baustelle</w:t>
            </w:r>
          </w:p>
          <w:p>
            <w:r>
              <w:rPr>
                <w:b w:val="0"/>
                <w:i/>
                <w:color w:val="5B6578"/>
                <w:sz w:val="15"/>
              </w:rPr>
              <w:t>Bezeichnung, Anschrift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Vertrag / Auftrag</w:t>
            </w:r>
          </w:p>
          <w:p>
            <w:r>
              <w:rPr>
                <w:b w:val="0"/>
                <w:i/>
                <w:color w:val="5B6578"/>
                <w:sz w:val="15"/>
              </w:rPr>
              <w:t>Nr., Datum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Angeordnet von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Funktion, Datum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Grund der Regiearbeit</w:t>
            </w:r>
          </w:p>
          <w:p>
            <w:r>
              <w:rPr>
                <w:b w:val="0"/>
                <w:i/>
                <w:color w:val="5B6578"/>
                <w:sz w:val="15"/>
              </w:rPr>
              <w:t>z. B. Nachtrag, Behinderung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Ausgeführte Arbeiten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Beschreibung (Ort, Bauteil, Umfang)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Personal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2857"/>
        <w:gridCol w:w="1837"/>
        <w:gridCol w:w="1122"/>
        <w:gridCol w:w="1122"/>
        <w:gridCol w:w="1224"/>
        <w:gridCol w:w="1432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285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Name</w:t>
            </w:r>
          </w:p>
        </w:tc>
        <w:tc>
          <w:tcPr>
            <w:tcW w:w="183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Qualifikation</w:t>
            </w:r>
          </w:p>
        </w:tc>
        <w:tc>
          <w:tcPr>
            <w:tcW w:w="112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Beginn</w:t>
            </w:r>
          </w:p>
        </w:tc>
        <w:tc>
          <w:tcPr>
            <w:tcW w:w="112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Ende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Pause (Min.)</w:t>
            </w:r>
          </w:p>
        </w:tc>
        <w:tc>
          <w:tcPr>
            <w:tcW w:w="14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Stunden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2857" w:type="dxa"/>
          </w:tcPr>
          <w:p/>
        </w:tc>
        <w:tc>
          <w:tcPr>
            <w:tcW w:w="1837" w:type="dxa"/>
          </w:tcPr>
          <w:p/>
        </w:tc>
        <w:tc>
          <w:tcPr>
            <w:tcW w:w="1122" w:type="dxa"/>
          </w:tcPr>
          <w:p/>
        </w:tc>
        <w:tc>
          <w:tcPr>
            <w:tcW w:w="1122" w:type="dxa"/>
          </w:tcPr>
          <w:p/>
        </w:tc>
        <w:tc>
          <w:tcPr>
            <w:tcW w:w="1224" w:type="dxa"/>
          </w:tcPr>
          <w:p/>
        </w:tc>
        <w:tc>
          <w:tcPr>
            <w:tcW w:w="1432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Summe Stunden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Stundensatz lt. Vertrag</w:t>
            </w:r>
          </w:p>
          <w:p>
            <w:r>
              <w:rPr>
                <w:b w:val="0"/>
                <w:i/>
                <w:color w:val="5B6578"/>
                <w:sz w:val="15"/>
              </w:rPr>
              <w:t>€/h</w:t>
            </w:r>
          </w:p>
        </w:tc>
        <w:tc>
          <w:tcPr>
            <w:tcW w:w="2654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Geräte und Material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694"/>
        <w:gridCol w:w="1428"/>
        <w:gridCol w:w="1224"/>
        <w:gridCol w:w="2248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69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Gerät / Material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Menge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Einheit</w:t>
            </w:r>
          </w:p>
        </w:tc>
        <w:tc>
          <w:tcPr>
            <w:tcW w:w="224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Einsatzzeit (Std.)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4694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2248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5. Bestätigung</w:t>
      </w:r>
    </w:p>
    <w:p>
      <w:r>
        <w:rPr>
          <w:b w:val="0"/>
          <w:i w:val="0"/>
          <w:color w:val="122230"/>
          <w:sz w:val="18"/>
        </w:rPr>
        <w:t>☐  Die oben aufgeführten Stunden, Geräte und Materialien werden bestätigt.</w:t>
      </w:r>
    </w:p>
    <w:p>
      <w:r>
        <w:rPr>
          <w:b w:val="0"/>
          <w:i w:val="0"/>
          <w:color w:val="122230"/>
          <w:sz w:val="18"/>
        </w:rPr>
        <w:t>☐  Bestätigt mit Einwänden (siehe Bemerkungen).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Bemerkungen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Auftragnehmer / Polier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Auftraggeber / Bauleitung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Stundenlohnarbeiten vor Beginn vereinbaren und den Bericht noch am selben Tag gegenzeichnen lassen. Ist die VOB/B vereinbart, gelten zusätzlich deren Regeln für Stundenlohnarbeiten.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Der Regiebericht ersetzt nicht die Arbeitszeitaufzeichnung für Arbeitnehmer (Beginn, Ende, Dauer, § 17 MiLoG).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Regiebericht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