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i w:val="0"/>
          <w:color w:val="122230"/>
          <w:sz w:val="32"/>
        </w:rPr>
        <w:t>BAUZEITENPLAN</w:t>
      </w:r>
    </w:p>
    <w:p>
      <w:pPr>
        <w:jc w:val="center"/>
      </w:pPr>
      <w:r>
        <w:rPr>
          <w:b/>
          <w:i w:val="0"/>
          <w:color w:val="5B6578"/>
          <w:sz w:val="20"/>
        </w:rPr>
        <w:t>BAUZEITENPLAN (PLAN TERMINÓW)</w:t>
      </w:r>
    </w:p>
    <w:p>
      <w:pPr>
        <w:spacing w:after="160"/>
        <w:jc w:val="center"/>
      </w:pPr>
      <w:r>
        <w:rPr>
          <w:b w:val="0"/>
          <w:i/>
          <w:color w:val="5B6578"/>
          <w:sz w:val="16"/>
        </w:rPr>
        <w:t>Vorgänge, Gewerke und Termine auf einen Blick / zadania, branże i terminy w jednym miejscu (Bauzeitenplan)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5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Bauvorhaben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Budowa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Stand vom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Stan na dzień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5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Auftraggeber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Zamawiający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Erstellt von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Sporządził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Vorgänge</w:t>
      </w:r>
      <w:r>
        <w:rPr>
          <w:b w:val="0"/>
          <w:i w:val="0"/>
          <w:color w:val="5B6578"/>
          <w:sz w:val="18"/>
        </w:rPr>
        <w:t xml:space="preserve">  / Zadania</w:t>
      </w:r>
    </w:p>
    <w:tbl>
      <w:tblPr>
        <w:jc w:val="center"/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612"/>
        <w:gridCol w:w="3061"/>
        <w:gridCol w:w="1837"/>
        <w:gridCol w:w="1122"/>
        <w:gridCol w:w="918"/>
        <w:gridCol w:w="1122"/>
        <w:gridCol w:w="1534"/>
      </w:tblGrid>
      <w:tr>
        <w:tc>
          <w:tcPr>
            <w:tcW w:w="61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Nr.</w:t>
            </w:r>
          </w:p>
        </w:tc>
        <w:tc>
          <w:tcPr>
            <w:tcW w:w="3061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Vorgang / Leistung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Zadanie / robota</w:t>
            </w:r>
          </w:p>
        </w:tc>
        <w:tc>
          <w:tcPr>
            <w:tcW w:w="1837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Gewerk / Firma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Branża / firma</w:t>
            </w:r>
          </w:p>
        </w:tc>
        <w:tc>
          <w:tcPr>
            <w:tcW w:w="112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Start</w:t>
            </w:r>
          </w:p>
        </w:tc>
        <w:tc>
          <w:tcPr>
            <w:tcW w:w="918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Dauer (AT)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Dni rob.</w:t>
            </w:r>
          </w:p>
        </w:tc>
        <w:tc>
          <w:tcPr>
            <w:tcW w:w="112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Ende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Koniec</w:t>
            </w:r>
          </w:p>
        </w:tc>
        <w:tc>
          <w:tcPr>
            <w:tcW w:w="1534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Abhängig von Nr.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Zależy od nr</w:t>
            </w:r>
          </w:p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2.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3.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4.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5.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6.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7.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8.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9.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10.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11.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12.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13.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14.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15.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16.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17.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  <w:tr>
        <w:trPr>
          <w:trHeight w:val="400"/>
        </w:trPr>
        <w:tc>
          <w:tcPr>
            <w:tcW w:w="612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6"/>
              </w:rPr>
              <w:t>18.</w:t>
            </w:r>
          </w:p>
        </w:tc>
        <w:tc>
          <w:tcPr>
            <w:tcW w:w="3061" w:type="dxa"/>
          </w:tcPr>
          <w:p/>
        </w:tc>
        <w:tc>
          <w:tcPr>
            <w:tcW w:w="1837" w:type="dxa"/>
          </w:tcPr>
          <w:p/>
        </w:tc>
        <w:tc>
          <w:tcPr>
            <w:tcW w:w="1122" w:type="dxa"/>
          </w:tcPr>
          <w:p/>
        </w:tc>
        <w:tc>
          <w:tcPr>
            <w:tcW w:w="918" w:type="dxa"/>
          </w:tcPr>
          <w:p/>
        </w:tc>
        <w:tc>
          <w:tcPr>
            <w:tcW w:w="1122" w:type="dxa"/>
          </w:tcPr>
          <w:p/>
        </w:tc>
        <w:tc>
          <w:tcPr>
            <w:tcW w:w="1534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Meilensteine, Puffer, Liefertermine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Kamienie milowe, zapasy czasu, terminy dostaw</w:t>
            </w:r>
          </w:p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FB8728"/>
          <w:left w:val="single" w:sz="4" w:color="FB8728"/>
          <w:bottom w:val="single" w:sz="4" w:color="FB8728"/>
          <w:right w:val="single" w:sz="4" w:color="FB8728"/>
          <w:insideH w:val="single" w:sz="4" w:color="FB8728"/>
          <w:insideV w:val="single" w:sz="4" w:color="FB8728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ff6ee"/>
          </w:tcPr>
          <w:p>
            <w:r>
              <w:rPr>
                <w:b/>
                <w:i w:val="0"/>
                <w:color w:val="122230"/>
                <w:sz w:val="17"/>
              </w:rPr>
              <w:t>Hinweise / Wskazówki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Die Excel-Fassung rechnet das Ende in Arbeitstagen und zeichnet Balken je Kalenderwoche. Feiertage sind nicht berücksichtigt.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Wersja Excel liczy koniec w dniach roboczych i rysuje paski w tygodniach. Święta nie są uwzględnione.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Den Plan wöchentlich abgleichen und Verschiebungen mit Ursache im Bautagesbericht festhalten.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Porównuj plan co tydzień, a przesunięcia z przyczyną zapisuj w raporcie dziennym (Bautagesbericht).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37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b w:val="0"/>
        <w:i w:val="0"/>
        <w:color w:val="5B6578"/>
        <w:sz w:val="15"/>
      </w:rPr>
      <w:t>Stand: 08.11.2026 · Vorlage ohne Gewähr · An Vertrag und Auftrag anpassen.</w:t>
      <w:br/>
      <w:t>Stan: 08.11.2026 · Wzór bez gwarancji · Dostosuj do umowy i zlecenia.</w:t>
    </w:r>
  </w:p>
  <w:p>
    <w:pPr>
      <w:jc w:val="right"/>
    </w:pP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PAGE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  <w:r>
      <w:rPr>
        <w:b w:val="0"/>
        <w:i w:val="0"/>
        <w:color w:val="5B6578"/>
        <w:sz w:val="15"/>
      </w:rPr>
      <w:t>/</w:t>
    </w: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NUMPAGES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936000" cy="2592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.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6000" cy="2592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Bauzeitenplan – BauHub</dc:title>
  <dc:subject/>
  <dc:creator>BauHub (bauhub-pl.de)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