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OBMIAR ROBÓT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wspólny obmiar wykonanych robót (Aufmaß)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arkusza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 xml:space="preserve">☐ Obmiar częściowy      </w:t>
      </w:r>
      <w:r>
        <w:rPr>
          <w:b w:val="0"/>
          <w:i w:val="0"/>
          <w:color w:val="122230"/>
          <w:sz w:val="18"/>
        </w:rPr>
        <w:t xml:space="preserve">☐ Obmiar końcowy     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Branża / element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Zamawiający</w:t>
            </w:r>
          </w:p>
          <w:p>
            <w:r>
              <w:rPr>
                <w:b w:val="0"/>
                <w:i/>
                <w:color w:val="5B6578"/>
                <w:sz w:val="15"/>
              </w:rPr>
              <w:t>przedstawiciel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przedstawiciel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Umowa / kosztorys</w:t>
            </w:r>
          </w:p>
          <w:p>
            <w:r>
              <w:rPr>
                <w:b w:val="0"/>
                <w:i/>
                <w:color w:val="5B6578"/>
                <w:sz w:val="15"/>
              </w:rPr>
              <w:t>nr, data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Rysunki</w:t>
            </w:r>
          </w:p>
          <w:p>
            <w:r>
              <w:rPr>
                <w:b w:val="0"/>
                <w:i/>
                <w:color w:val="5B6578"/>
                <w:sz w:val="15"/>
              </w:rPr>
              <w:t>nr rysunku, indeks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Obmiar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714"/>
        <w:gridCol w:w="3163"/>
        <w:gridCol w:w="714"/>
        <w:gridCol w:w="918"/>
        <w:gridCol w:w="918"/>
        <w:gridCol w:w="918"/>
        <w:gridCol w:w="1020"/>
        <w:gridCol w:w="1020"/>
        <w:gridCol w:w="821"/>
      </w:tblGrid>
      <w:tr>
        <w:tc>
          <w:tcPr>
            <w:tcW w:w="71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Poz.</w:t>
            </w:r>
          </w:p>
        </w:tc>
        <w:tc>
          <w:tcPr>
            <w:tcW w:w="316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Opis / miejsce</w:t>
            </w:r>
          </w:p>
        </w:tc>
        <w:tc>
          <w:tcPr>
            <w:tcW w:w="71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Szt.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Dł.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Szer.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Wys.</w:t>
            </w:r>
          </w:p>
        </w:tc>
        <w:tc>
          <w:tcPr>
            <w:tcW w:w="102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Potrącenie</w:t>
            </w:r>
          </w:p>
        </w:tc>
        <w:tc>
          <w:tcPr>
            <w:tcW w:w="102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Ilość</w:t>
            </w:r>
          </w:p>
        </w:tc>
        <w:tc>
          <w:tcPr>
            <w:tcW w:w="82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J.m.</w:t>
            </w:r>
          </w:p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  <w:tr>
        <w:trPr>
          <w:trHeight w:val="380"/>
        </w:trPr>
        <w:tc>
          <w:tcPr>
            <w:tcW w:w="714" w:type="dxa"/>
          </w:tcPr>
          <w:p/>
        </w:tc>
        <w:tc>
          <w:tcPr>
            <w:tcW w:w="3163" w:type="dxa"/>
          </w:tcPr>
          <w:p/>
        </w:tc>
        <w:tc>
          <w:tcPr>
            <w:tcW w:w="714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918" w:type="dxa"/>
          </w:tcPr>
          <w:p/>
        </w:tc>
        <w:tc>
          <w:tcPr>
            <w:tcW w:w="1020" w:type="dxa"/>
          </w:tcPr>
          <w:p/>
        </w:tc>
        <w:tc>
          <w:tcPr>
            <w:tcW w:w="1020" w:type="dxa"/>
          </w:tcPr>
          <w:p/>
        </w:tc>
        <w:tc>
          <w:tcPr>
            <w:tcW w:w="821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Uwagi, nr szkiców, zdjęcia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Wykonawca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Zamawiający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Przy umowie o roboty budowlane wynagrodzenie jest wymagalne po odbiorze i doręczeniu sprawdzalnej faktury końcowej. Faktura jest sprawdzalna, gdy zawiera przejrzyste zestawienie wykonanych robót, zrozumiałe dla zamawiającego (§ 650g ust. 4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Numery pozycji przepisz z kosztorysu (Leistungsverzeichnis), a każdy arkusz dajcie do podpisu obu stronom.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Obmiar robót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