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ARBEITSVERTRAG</w:t>
      </w:r>
    </w:p>
    <w:p>
      <w:pPr>
        <w:jc w:val="center"/>
      </w:pPr>
      <w:r>
        <w:rPr>
          <w:b/>
          <w:i w:val="0"/>
          <w:color w:val="5B6578"/>
          <w:sz w:val="20"/>
        </w:rPr>
        <w:t>UMOWA O PRACĘ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für gewerbliche Arbeitnehmer, Angaben nach § 2 Nachweisgesetz / dla pracowników fizycznych, z danymi wymaganymi przez § 2 NachwG (Arbeitsvertrag)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Vertragsparteien</w:t>
      </w:r>
      <w:r>
        <w:rPr>
          <w:b w:val="0"/>
          <w:i w:val="0"/>
          <w:color w:val="5B6578"/>
          <w:sz w:val="18"/>
        </w:rPr>
        <w:t xml:space="preserve">  / 1. Strony umowy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Arbeitgeber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Pracodawca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Anschrift / firma,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Arbeitnehmer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Pracownik</w:t>
            </w:r>
          </w:p>
          <w:p>
            <w:r>
              <w:rPr>
                <w:b w:val="0"/>
                <w:i/>
                <w:color w:val="5B6578"/>
                <w:sz w:val="15"/>
              </w:rPr>
              <w:t>Vorname, Name, Anschrift, Geburtsdatum / imię, nazwisko, adres, data urodzenia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Beginn, Dauer, Ort, Tätigkeit</w:t>
      </w:r>
      <w:r>
        <w:rPr>
          <w:b w:val="0"/>
          <w:i w:val="0"/>
          <w:color w:val="5B6578"/>
          <w:sz w:val="18"/>
        </w:rPr>
        <w:t xml:space="preserve">  / 2. Początek, czas trwania, miejsce, praca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Beginn des Arbeitsverhältnisses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Początek zatrudnienia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Befristet bis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Na czas określony do</w:t>
            </w:r>
          </w:p>
          <w:p>
            <w:r>
              <w:rPr>
                <w:b w:val="0"/>
                <w:i/>
                <w:color w:val="5B6578"/>
                <w:sz w:val="15"/>
              </w:rPr>
              <w:t>nur bei Befristung / tylko przy umowie terminowej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Probezeit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Okres próbny</w:t>
            </w:r>
          </w:p>
          <w:p>
            <w:r>
              <w:rPr>
                <w:b w:val="0"/>
                <w:i/>
                <w:color w:val="5B6578"/>
                <w:sz w:val="15"/>
              </w:rPr>
              <w:t>höchstens 6 Monate / najwyżej 6 miesięcy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Arbeitsort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Miejsce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oder: wechselnde Baustellen / albo: zmienne budowy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Tätigkeit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Rodzaj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kurze Beschreibung / krótki opis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Vergütung</w:t>
      </w:r>
      <w:r>
        <w:rPr>
          <w:b w:val="0"/>
          <w:i w:val="0"/>
          <w:color w:val="5B6578"/>
          <w:sz w:val="18"/>
        </w:rPr>
        <w:t xml:space="preserve">  / 3. Wynagrodzenie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Stundenlohn brutto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Stawka godzinowa brutto</w:t>
            </w:r>
          </w:p>
          <w:p>
            <w:r>
              <w:rPr>
                <w:b w:val="0"/>
                <w:i/>
                <w:color w:val="5B6578"/>
                <w:sz w:val="15"/>
              </w:rPr>
              <w:t>€/h / €/h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Überstunden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Nadgodziny</w:t>
            </w:r>
          </w:p>
          <w:p>
            <w:r>
              <w:rPr>
                <w:b w:val="0"/>
                <w:i/>
                <w:color w:val="5B6578"/>
                <w:sz w:val="15"/>
              </w:rPr>
              <w:t>Vergütung oder Ausgleich / wynagrodzenie albo odbiór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Zuschläge, Zulagen, Prämien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Dodatki, premie</w:t>
            </w:r>
          </w:p>
          <w:p>
            <w:r>
              <w:rPr>
                <w:b w:val="0"/>
                <w:i/>
                <w:color w:val="5B6578"/>
                <w:sz w:val="15"/>
              </w:rPr>
              <w:t>jeweils getrennt / każdy osobno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Fälligkeit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Termin wypłaty</w:t>
            </w:r>
          </w:p>
          <w:p>
            <w:r>
              <w:rPr>
                <w:b w:val="0"/>
                <w:i/>
                <w:color w:val="5B6578"/>
                <w:sz w:val="15"/>
              </w:rPr>
              <w:t>z. B. bis zum 15. des Folgemonats / np. do 15. następnego miesiąca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Auszahlung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Sposób wypłaty</w:t>
            </w:r>
          </w:p>
          <w:p>
            <w:r>
              <w:rPr>
                <w:b w:val="0"/>
                <w:i/>
                <w:color w:val="5B6578"/>
                <w:sz w:val="15"/>
              </w:rPr>
              <w:t>Überweisung auf Konto / przelew na konto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4. Arbeitszeit und Urlaub</w:t>
      </w:r>
      <w:r>
        <w:rPr>
          <w:b w:val="0"/>
          <w:i w:val="0"/>
          <w:color w:val="5B6578"/>
          <w:sz w:val="18"/>
        </w:rPr>
        <w:t xml:space="preserve">  / 4. Czas pracy i urlop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Wöchentliche Arbeitszeit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Tygodniowy czas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Stunden / godziny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Ruhepausen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Przerwy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Überstunden angeordnet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Polecanie nadgodzin</w:t>
            </w:r>
          </w:p>
          <w:p>
            <w:r>
              <w:rPr>
                <w:b w:val="0"/>
                <w:i/>
                <w:color w:val="5B6578"/>
                <w:sz w:val="15"/>
              </w:rPr>
              <w:t>ob und unter welchen Voraussetzungen / czy i na jakich warunkach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Urlaub pro Jahr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Urlop w roku</w:t>
            </w:r>
          </w:p>
          <w:p>
            <w:r>
              <w:rPr>
                <w:b w:val="0"/>
                <w:i/>
                <w:color w:val="5B6578"/>
                <w:sz w:val="15"/>
              </w:rPr>
              <w:t>Arbeitstage / dni robocze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Schichtarbeit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Praca zmianowa</w:t>
            </w:r>
          </w:p>
          <w:p>
            <w:r>
              <w:rPr>
                <w:b w:val="0"/>
                <w:i/>
                <w:color w:val="5B6578"/>
                <w:sz w:val="15"/>
              </w:rPr>
              <w:t>Schichtsystem, Rhythmus, Änderungen; falls vereinbart / system, rytm i zmiany grafiku; jeśli uzgodniono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Kündigung</w:t>
      </w:r>
      <w:r>
        <w:rPr>
          <w:b w:val="0"/>
          <w:i w:val="0"/>
          <w:color w:val="5B6578"/>
          <w:sz w:val="18"/>
        </w:rPr>
        <w:t xml:space="preserve">  / 5. Wypowiedzenie</w:t>
      </w:r>
    </w:p>
    <w:p>
      <w:r>
        <w:rPr>
          <w:b w:val="0"/>
          <w:i w:val="0"/>
          <w:color w:val="122230"/>
          <w:sz w:val="18"/>
        </w:rPr>
        <w:t>☐  Die Kündigung bedarf der Schriftform; die elektronische Form ist ausgeschlossen (§ 623 BGB).</w:t>
      </w:r>
      <w:r>
        <w:rPr>
          <w:b w:val="0"/>
          <w:i w:val="0"/>
          <w:color w:val="5B6578"/>
          <w:sz w:val="15"/>
        </w:rPr>
        <w:br/>
        <w:t xml:space="preserve">     Wypowiedzenie wymaga formy pisemnej, forma elektroniczna jest wykluczona (§ 623 BGB).</w:t>
      </w:r>
    </w:p>
    <w:p>
      <w:r>
        <w:rPr>
          <w:b w:val="0"/>
          <w:i w:val="0"/>
          <w:color w:val="122230"/>
          <w:sz w:val="18"/>
        </w:rPr>
        <w:t>☐  Es gelten die gesetzlichen Kündigungsfristen (§ 622 BGB), soweit unten nichts anderes vereinbart ist.</w:t>
      </w:r>
      <w:r>
        <w:rPr>
          <w:b w:val="0"/>
          <w:i w:val="0"/>
          <w:color w:val="5B6578"/>
          <w:sz w:val="15"/>
        </w:rPr>
        <w:br/>
        <w:t xml:space="preserve">     Obowiązują ustawowe okresy wypowiedzenia (§ 622 BGB), chyba że niżej uzgodniono inaczej.</w:t>
      </w:r>
    </w:p>
    <w:p>
      <w:r>
        <w:rPr>
          <w:b w:val="0"/>
          <w:i w:val="0"/>
          <w:color w:val="122230"/>
          <w:sz w:val="18"/>
        </w:rPr>
        <w:t>☐  Will der Arbeitnehmer geltend machen, dass eine Kündigung unwirksam ist, muss er innerhalb von drei Wochen nach Zugang der schriftlichen Kündigung Klage beim Arbeitsgericht erheben (§ 4 KSchG).</w:t>
      </w:r>
      <w:r>
        <w:rPr>
          <w:b w:val="0"/>
          <w:i w:val="0"/>
          <w:color w:val="5B6578"/>
          <w:sz w:val="15"/>
        </w:rPr>
        <w:br/>
        <w:t xml:space="preserve">     Kto chce podważyć wypowiedzenie, musi w ciągu trzech tygodni od doręczenia pisemnego wypowiedzenia wnieść pozew do sądu pracy (§ 4 KSchG).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Abweichende Kündigungsfristen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Inne okresy wypowiedzenia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6. Weitere Vereinbarungen</w:t>
      </w:r>
      <w:r>
        <w:rPr>
          <w:b w:val="0"/>
          <w:i w:val="0"/>
          <w:color w:val="5B6578"/>
          <w:sz w:val="18"/>
        </w:rPr>
        <w:t xml:space="preserve">  / 6. Inne ustalenia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Anwendbare Tarifverträge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Układy zbiorowe</w:t>
            </w:r>
          </w:p>
          <w:p>
            <w:r>
              <w:rPr>
                <w:b w:val="0"/>
                <w:i/>
                <w:color w:val="5B6578"/>
                <w:sz w:val="15"/>
              </w:rPr>
              <w:t>allgemeiner Hinweis oder „keine“ / ogólna informacja albo „brak”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Fortbildung durch den Arbeitgeber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Szkolenia zapewniane przez pracodawcę</w:t>
            </w:r>
          </w:p>
          <w:p>
            <w:r>
              <w:rPr>
                <w:b w:val="0"/>
                <w:i/>
                <w:color w:val="5B6578"/>
                <w:sz w:val="15"/>
              </w:rPr>
              <w:t>falls Anspruch besteht / jeśli przysługują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Betriebliche Altersversorgung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Pracownicze plany emerytalne</w:t>
            </w:r>
          </w:p>
          <w:p>
            <w:r>
              <w:rPr>
                <w:b w:val="0"/>
                <w:i/>
                <w:color w:val="5B6578"/>
                <w:sz w:val="15"/>
              </w:rPr>
              <w:t>Versorgungsträger, falls zugesagt / instytucja, jeśli przewidziana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Sonstiges (Unterkunft, Fahrtkosten, Arbeitskleidung)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Inne (zakwaterowanie, dojazd, odzież robocza)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Arbeitgeber (Ort, Datum, Unterschrift)</w:t>
            </w:r>
            <w:r>
              <w:rPr>
                <w:b w:val="0"/>
                <w:i w:val="0"/>
                <w:color w:val="5B6578"/>
                <w:sz w:val="15"/>
              </w:rPr>
              <w:br/>
              <w:t>Pracodawca (miejscowość, data, podpis)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Arbeitnehmer (Ort, Datum, Unterschrift)</w:t>
            </w:r>
            <w:r>
              <w:rPr>
                <w:b w:val="0"/>
                <w:i w:val="0"/>
                <w:color w:val="5B6578"/>
                <w:sz w:val="15"/>
              </w:rPr>
              <w:br/>
              <w:t>Pracownik (miejscowość, data, podpis)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Der Arbeitgeber legt die wesentlichen Vertragsbedingungen schriftlich nieder, unterschreibt sie und händigt sie aus. Die Mindestangaben stehen in § 2 Abs. 1 NachwG; dieser Vordruck folgt ihnen. Im Baugewerbe ist der elektronische Nachweis ausgeschlossen (§ 2 Abs. 1 Satz 6 NachwG).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Pracodawca spisuje najważniejsze warunki umowy, podpisuje je i wręcza pracownikowi. Minimalny zakres podaje § 2 ust. 1 NachwG; ten wzór się go trzyma. W budownictwie nie wolno tego zrobić tylko elektronicznie (§ 2 ust. 1 zd. 6 NachwG).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Der Stundenlohn darf den gesetzlichen Mindestlohn nicht unterschreiten (MiLoG). Für einzelne Gewerke gelten höhere Branchenmindestlöhne.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Stawka nie może być niższa niż ustawowa płaca minimalna (MiLoG). W niektórych branżach obowiązują wyższe stawki minimalne.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