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PROTOKÓŁ ODBIORU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odbiór robót budowlanych w Niemczech (Abnahme, § 640 BGB)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protokołu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Miejscowość, data, godzina</w:t>
            </w:r>
          </w:p>
        </w:tc>
        <w:tc>
          <w:tcPr>
            <w:tcW w:w="265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 xml:space="preserve">☐ Odbiór częściowy      </w:t>
      </w:r>
      <w:r>
        <w:rPr>
          <w:b w:val="0"/>
          <w:i w:val="0"/>
          <w:color w:val="122230"/>
          <w:sz w:val="18"/>
        </w:rPr>
        <w:t xml:space="preserve">☐ Odbiór końcowy      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Strony umowy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Zamawiający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nazwisko, funkcja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nazwisko, funkcja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Kierownik budowy / architekt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Umowa / zlecenie</w:t>
            </w:r>
          </w:p>
          <w:p>
            <w:r>
              <w:rPr>
                <w:b w:val="0"/>
                <w:i/>
                <w:color w:val="5B6578"/>
                <w:sz w:val="15"/>
              </w:rPr>
              <w:t>nr, data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Przedmiot odbioru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Zakres / branża</w:t>
            </w:r>
          </w:p>
          <w:p>
            <w:r>
              <w:rPr>
                <w:b w:val="0"/>
                <w:i/>
                <w:color w:val="5B6578"/>
                <w:sz w:val="15"/>
              </w:rPr>
              <w:t>etap, branża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Gotowość zgłoszona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Termin umowny zakończenia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3878"/>
        <w:gridCol w:w="918"/>
        <w:gridCol w:w="1428"/>
        <w:gridCol w:w="1428"/>
        <w:gridCol w:w="1942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387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Opis robót</w:t>
            </w:r>
          </w:p>
        </w:tc>
        <w:tc>
          <w:tcPr>
            <w:tcW w:w="91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J.m.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Ilość wg umowy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Ilość wykonana</w:t>
            </w:r>
          </w:p>
        </w:tc>
        <w:tc>
          <w:tcPr>
            <w:tcW w:w="194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Uwagi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3878" w:type="dxa"/>
          </w:tcPr>
          <w:p/>
        </w:tc>
        <w:tc>
          <w:tcPr>
            <w:tcW w:w="918" w:type="dxa"/>
          </w:tcPr>
          <w:p/>
        </w:tc>
        <w:tc>
          <w:tcPr>
            <w:tcW w:w="1428" w:type="dxa"/>
          </w:tcPr>
          <w:p/>
        </w:tc>
        <w:tc>
          <w:tcPr>
            <w:tcW w:w="1428" w:type="dxa"/>
          </w:tcPr>
          <w:p/>
        </w:tc>
        <w:tc>
          <w:tcPr>
            <w:tcW w:w="1942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Przekazane dokumenty</w:t>
      </w:r>
    </w:p>
    <w:p>
      <w:r>
        <w:rPr>
          <w:b w:val="0"/>
          <w:i w:val="0"/>
          <w:color w:val="122230"/>
          <w:sz w:val="18"/>
        </w:rPr>
        <w:t>☐  Raporty dzienne, obmiary, raporty prac godzinowych</w:t>
      </w:r>
    </w:p>
    <w:p>
      <w:r>
        <w:rPr>
          <w:b w:val="0"/>
          <w:i w:val="0"/>
          <w:color w:val="122230"/>
          <w:sz w:val="18"/>
        </w:rPr>
        <w:t>☐  Protokoły badań i pomiarów (np. elektryka, szczelność, próba ciśnieniowa)</w:t>
      </w:r>
    </w:p>
    <w:p>
      <w:r>
        <w:rPr>
          <w:b w:val="0"/>
          <w:i w:val="0"/>
          <w:color w:val="122230"/>
          <w:sz w:val="18"/>
        </w:rPr>
        <w:t>☐  Karty techniczne, deklaracje właściwości użytkowych</w:t>
      </w:r>
    </w:p>
    <w:p>
      <w:r>
        <w:rPr>
          <w:b w:val="0"/>
          <w:i w:val="0"/>
          <w:color w:val="122230"/>
          <w:sz w:val="18"/>
        </w:rPr>
        <w:t>☐  Rysunki powykonawcze</w:t>
      </w:r>
    </w:p>
    <w:p>
      <w:r>
        <w:rPr>
          <w:b w:val="0"/>
          <w:i w:val="0"/>
          <w:color w:val="122230"/>
          <w:sz w:val="18"/>
        </w:rPr>
        <w:t>☐  Instrukcje obsługi i konserwacji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Inne:</w:t>
      </w:r>
      <w:r>
        <w:tab/>
      </w:r>
    </w:p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Stwierdzone wady i prace do dokończenia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612"/>
        <w:gridCol w:w="4286"/>
        <w:gridCol w:w="1632"/>
        <w:gridCol w:w="1428"/>
        <w:gridCol w:w="1224"/>
        <w:gridCol w:w="1024"/>
      </w:tblGrid>
      <w:tr>
        <w:tc>
          <w:tcPr>
            <w:tcW w:w="61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Nr.</w:t>
            </w:r>
          </w:p>
        </w:tc>
        <w:tc>
          <w:tcPr>
            <w:tcW w:w="4286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Wada i miejsce</w:t>
            </w:r>
          </w:p>
        </w:tc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istotna / nieistotna</w:t>
            </w:r>
          </w:p>
        </w:tc>
        <w:tc>
          <w:tcPr>
            <w:tcW w:w="1428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Usunąć do</w:t>
            </w:r>
          </w:p>
        </w:tc>
        <w:tc>
          <w:tcPr>
            <w:tcW w:w="12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Usunięto dnia</w:t>
            </w:r>
          </w:p>
        </w:tc>
        <w:tc>
          <w:tcPr>
            <w:tcW w:w="1024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Parafa</w:t>
            </w:r>
          </w:p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1.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2.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3.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4.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5.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6.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  <w:tr>
        <w:trPr>
          <w:trHeight w:val="400"/>
        </w:trPr>
        <w:tc>
          <w:tcPr>
            <w:tcW w:w="61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6"/>
              </w:rPr>
              <w:t>7.</w:t>
            </w:r>
          </w:p>
        </w:tc>
        <w:tc>
          <w:tcPr>
            <w:tcW w:w="4286" w:type="dxa"/>
          </w:tcPr>
          <w:p/>
        </w:tc>
        <w:tc>
          <w:tcPr>
            <w:tcW w:w="1632" w:type="dxa"/>
          </w:tcPr>
          <w:p/>
        </w:tc>
        <w:tc>
          <w:tcPr>
            <w:tcW w:w="1428" w:type="dxa"/>
          </w:tcPr>
          <w:p/>
        </w:tc>
        <w:tc>
          <w:tcPr>
            <w:tcW w:w="1224" w:type="dxa"/>
          </w:tcPr>
          <w:p/>
        </w:tc>
        <w:tc>
          <w:tcPr>
            <w:tcW w:w="1024" w:type="dxa"/>
          </w:tcPr>
          <w:p/>
        </w:tc>
      </w:tr>
    </w:tbl>
    <w:p>
      <w:r>
        <w:rPr>
          <w:b w:val="0"/>
          <w:i w:val="0"/>
          <w:color w:val="122230"/>
          <w:sz w:val="18"/>
        </w:rPr>
        <w:t>☐  Nie stwierdzono wad.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Wynik odbioru</w:t>
      </w:r>
    </w:p>
    <w:p>
      <w:r>
        <w:rPr>
          <w:b w:val="0"/>
          <w:i w:val="0"/>
          <w:color w:val="122230"/>
          <w:sz w:val="18"/>
        </w:rPr>
        <w:t>☐  Roboty odebrano bez zastrzeżeń.</w:t>
      </w:r>
    </w:p>
    <w:p>
      <w:r>
        <w:rPr>
          <w:b w:val="0"/>
          <w:i w:val="0"/>
          <w:color w:val="122230"/>
          <w:sz w:val="18"/>
        </w:rPr>
        <w:t>☐  Roboty odebrano. Prawa z powodu wad wymienionych w pkt 4 zostają zastrzeżone (§ 640 ust. 3 BGB).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Odmowa odbioru z powodu istotnych wad z pkt 4. Nowy termin:</w:t>
      </w:r>
      <w:r>
        <w:tab/>
      </w:r>
    </w:p>
    <w:p>
      <w:r>
        <w:rPr>
          <w:b w:val="0"/>
          <w:i w:val="0"/>
          <w:color w:val="122230"/>
          <w:sz w:val="18"/>
        </w:rPr>
        <w:t>☐  Zamawiający zastrzega karę umowną (§ 341 ust. 3 BGB).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Bieg przedawnienia roszczeń z wad od</w:t>
            </w:r>
          </w:p>
          <w:p>
            <w:r>
              <w:rPr>
                <w:b w:val="0"/>
                <w:i/>
                <w:color w:val="5B6578"/>
                <w:sz w:val="15"/>
              </w:rPr>
              <w:t>dzień odbioru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Termin wg umowy</w:t>
            </w:r>
          </w:p>
          <w:p>
            <w:r>
              <w:rPr>
                <w:b w:val="0"/>
                <w:i/>
                <w:color w:val="5B6578"/>
                <w:sz w:val="15"/>
              </w:rPr>
              <w:t>lata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Uwagi, inne zastrzeżenia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3402"/>
        <w:gridCol w:w="3402"/>
        <w:gridCol w:w="3402"/>
      </w:tblGrid>
      <w:tr>
        <w:trPr>
          <w:trHeight w:val="1120"/>
        </w:trPr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  <w:tc>
          <w:tcPr>
            <w:tcW w:w="3402" w:type="dxa"/>
            <w:tcBorders>
              <w:bottom w:val="dotted" w:sz="6" w:color="122230"/>
            </w:tcBorders>
          </w:tcPr>
          <w:p/>
        </w:tc>
      </w:tr>
      <w:tr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Zamawiający (podpis, pieczątka)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Wykonawca (podpis, pieczątka)</w:t>
            </w:r>
          </w:p>
        </w:tc>
        <w:tc>
          <w:tcPr>
            <w:tcW w:w="3402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Kierownik budowy / architekt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Odbioru nie można odmówić z powodu nieistotnych wad (§ 640 ust.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Kto odbiera mimo znanych wad, zachowuje prawa z § 634 pkt 1–3 BGB tylko z zastrzeżeniem przy odbiorze (§ 640 ust. 3 BGB). Umówioną karę umowną także trzeba zastrzec przy odbiorze (§ 341 ust. 3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Od odbioru biegnie przedawnienie roszczeń z wad, przy budowlach pięć lat (§ 634a ust. 1 pkt 2, ust. 2 BGB). Przy umowie o roboty budowlane wynagrodzenie jest wymagalne po odbiorze i doręczeniu sprawdzalnej faktury końcowej (§ 650g ust. 4 BGB).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